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 w:rsidP="0031056D">
      <w:pPr>
        <w:pStyle w:val="Heading2"/>
        <w:ind w:left="7080"/>
        <w:rPr>
          <w:sz w:val="24"/>
          <w:szCs w:val="24"/>
        </w:rPr>
      </w:pPr>
      <w:r w:rsidRPr="008B4708">
        <w:rPr>
          <w:sz w:val="24"/>
          <w:szCs w:val="24"/>
        </w:rPr>
        <w:t>Załącznik II.1</w:t>
      </w:r>
    </w:p>
    <w:p w:rsidR="00C21CD4" w:rsidRPr="008B4708" w:rsidRDefault="00C21CD4">
      <w:pPr>
        <w:pStyle w:val="Heading2"/>
        <w:rPr>
          <w:color w:val="FF0000"/>
          <w:sz w:val="24"/>
          <w:szCs w:val="24"/>
        </w:rPr>
      </w:pPr>
      <w:r w:rsidRPr="008B4708">
        <w:rPr>
          <w:sz w:val="24"/>
          <w:szCs w:val="24"/>
        </w:rPr>
        <w:t>1.3. Karta modułu/przedmiotu</w:t>
      </w:r>
      <w:r w:rsidRPr="008B4708">
        <w:rPr>
          <w:sz w:val="24"/>
          <w:szCs w:val="24"/>
        </w:rPr>
        <w:tab/>
      </w:r>
      <w:r w:rsidRPr="008B4708">
        <w:rPr>
          <w:sz w:val="24"/>
          <w:szCs w:val="24"/>
        </w:rPr>
        <w:tab/>
      </w:r>
      <w:r w:rsidRPr="008B4708">
        <w:rPr>
          <w:sz w:val="24"/>
          <w:szCs w:val="24"/>
        </w:rPr>
        <w:tab/>
      </w:r>
      <w:r w:rsidRPr="008B4708">
        <w:rPr>
          <w:sz w:val="24"/>
          <w:szCs w:val="24"/>
        </w:rPr>
        <w:tab/>
      </w:r>
      <w:r w:rsidRPr="008B4708">
        <w:rPr>
          <w:sz w:val="24"/>
          <w:szCs w:val="24"/>
        </w:rPr>
        <w:tab/>
      </w:r>
      <w:r w:rsidRPr="008B4708">
        <w:rPr>
          <w:sz w:val="24"/>
          <w:szCs w:val="24"/>
        </w:rPr>
        <w:tab/>
      </w:r>
      <w:r w:rsidRPr="008B4708">
        <w:rPr>
          <w:sz w:val="24"/>
          <w:szCs w:val="24"/>
        </w:rPr>
        <w:tab/>
      </w:r>
    </w:p>
    <w:p w:rsidR="00C21CD4" w:rsidRPr="008B4708" w:rsidRDefault="00C21CD4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4"/>
        <w:gridCol w:w="1385"/>
        <w:gridCol w:w="729"/>
        <w:gridCol w:w="454"/>
        <w:gridCol w:w="917"/>
        <w:gridCol w:w="400"/>
        <w:gridCol w:w="43"/>
        <w:gridCol w:w="1357"/>
      </w:tblGrid>
      <w:tr w:rsidR="00C21CD4" w:rsidRPr="008B470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21CD4" w:rsidRPr="008B4708" w:rsidRDefault="00C21CD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Wiedza o kulturze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C21CD4" w:rsidRPr="008B470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21CD4" w:rsidRPr="008B4708" w:rsidRDefault="00C21CD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Wiedza o kulturze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C21CD4" w:rsidRPr="008B4708">
        <w:trPr>
          <w:cantSplit/>
        </w:trPr>
        <w:tc>
          <w:tcPr>
            <w:tcW w:w="497" w:type="dxa"/>
            <w:vMerge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C21CD4" w:rsidRPr="008B4708">
        <w:trPr>
          <w:cantSplit/>
        </w:trPr>
        <w:tc>
          <w:tcPr>
            <w:tcW w:w="497" w:type="dxa"/>
            <w:vMerge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C21CD4" w:rsidRPr="008B4708">
        <w:trPr>
          <w:cantSplit/>
        </w:trPr>
        <w:tc>
          <w:tcPr>
            <w:tcW w:w="497" w:type="dxa"/>
            <w:vMerge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polska -  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nauczycielska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/ filologiczna obsługa biznesu</w:t>
            </w:r>
          </w:p>
        </w:tc>
      </w:tr>
      <w:tr w:rsidR="00C21CD4" w:rsidRPr="008B4708">
        <w:trPr>
          <w:cantSplit/>
        </w:trPr>
        <w:tc>
          <w:tcPr>
            <w:tcW w:w="497" w:type="dxa"/>
            <w:vMerge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C21CD4" w:rsidRPr="008B4708" w:rsidRDefault="00C21CD4" w:rsidP="00125CB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4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C21CD4" w:rsidRPr="008B4708">
        <w:trPr>
          <w:cantSplit/>
        </w:trPr>
        <w:tc>
          <w:tcPr>
            <w:tcW w:w="497" w:type="dxa"/>
            <w:vMerge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8B4708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8B4708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C21CD4" w:rsidRPr="008B4708">
        <w:trPr>
          <w:cantSplit/>
        </w:trPr>
        <w:tc>
          <w:tcPr>
            <w:tcW w:w="497" w:type="dxa"/>
            <w:vMerge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C21CD4" w:rsidRPr="008B4708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C21CD4" w:rsidRPr="008B4708" w:rsidRDefault="00C21CD4" w:rsidP="00901F83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dr hab. Marek Sokołowski</w:t>
            </w:r>
          </w:p>
        </w:tc>
      </w:tr>
      <w:tr w:rsidR="00C21CD4" w:rsidRPr="008B4708">
        <w:tc>
          <w:tcPr>
            <w:tcW w:w="2988" w:type="dxa"/>
            <w:gridSpan w:val="6"/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dr hab. Marek Sokołowski</w:t>
            </w:r>
          </w:p>
        </w:tc>
      </w:tr>
      <w:tr w:rsidR="00C21CD4" w:rsidRPr="008B4708">
        <w:tc>
          <w:tcPr>
            <w:tcW w:w="2988" w:type="dxa"/>
            <w:gridSpan w:val="6"/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Zapoznanie z głównymi zagadnieniami występującymi w wiedzy o kulturze. Zaznajomienie z podstawową terminologią występującą w obszarze wiedzy o kulturze. </w:t>
            </w:r>
          </w:p>
        </w:tc>
      </w:tr>
      <w:tr w:rsidR="00C21CD4" w:rsidRPr="008B4708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C21CD4" w:rsidRPr="008B4708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C21CD4" w:rsidRPr="008B4708">
        <w:trPr>
          <w:cantSplit/>
        </w:trPr>
        <w:tc>
          <w:tcPr>
            <w:tcW w:w="908" w:type="dxa"/>
            <w:gridSpan w:val="2"/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Student operuje podstawową wiedzą z zakresu kulturoznawstwa. Student definiuje podstawowe pojęcia z zakresu wiedzy o kulturze.</w:t>
            </w:r>
          </w:p>
        </w:tc>
        <w:tc>
          <w:tcPr>
            <w:tcW w:w="1400" w:type="dxa"/>
            <w:gridSpan w:val="2"/>
            <w:vAlign w:val="center"/>
          </w:tcPr>
          <w:p w:rsidR="00C21CD4" w:rsidRPr="008B4708" w:rsidRDefault="00C21CD4" w:rsidP="002A4D3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K_</w:t>
            </w:r>
            <w:r>
              <w:rPr>
                <w:rFonts w:ascii="Cambria" w:hAnsi="Cambria" w:cs="Cambria"/>
                <w:sz w:val="24"/>
                <w:szCs w:val="24"/>
              </w:rPr>
              <w:t>W1</w:t>
            </w:r>
            <w:r w:rsidRPr="008B4708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C21CD4" w:rsidRPr="008B4708">
        <w:trPr>
          <w:cantSplit/>
        </w:trPr>
        <w:tc>
          <w:tcPr>
            <w:tcW w:w="908" w:type="dxa"/>
            <w:gridSpan w:val="2"/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Zna tradycje oraz główne kierunki XX-wiecznej wiedzy o kulturze. Rozpoznaje cechy swoiste, powiązania i wzajemne zależności występujące w obszarze kultury.</w:t>
            </w:r>
          </w:p>
        </w:tc>
        <w:tc>
          <w:tcPr>
            <w:tcW w:w="1400" w:type="dxa"/>
            <w:gridSpan w:val="2"/>
            <w:vAlign w:val="center"/>
          </w:tcPr>
          <w:p w:rsidR="00C21CD4" w:rsidRPr="008B4708" w:rsidRDefault="00C21CD4" w:rsidP="009D354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K_U02</w:t>
            </w:r>
          </w:p>
        </w:tc>
      </w:tr>
      <w:tr w:rsidR="00C21CD4" w:rsidRPr="008B4708">
        <w:trPr>
          <w:cantSplit/>
        </w:trPr>
        <w:tc>
          <w:tcPr>
            <w:tcW w:w="908" w:type="dxa"/>
            <w:gridSpan w:val="2"/>
            <w:vAlign w:val="center"/>
          </w:tcPr>
          <w:p w:rsidR="00C21CD4" w:rsidRPr="008B4708" w:rsidRDefault="00C21CD4" w:rsidP="002A4D3C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Student ma świadomość wagi etosu humanistycznego, opartego o wiedzę o kulturze.</w:t>
            </w:r>
          </w:p>
        </w:tc>
        <w:tc>
          <w:tcPr>
            <w:tcW w:w="1400" w:type="dxa"/>
            <w:gridSpan w:val="2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K_K07</w:t>
            </w:r>
          </w:p>
        </w:tc>
      </w:tr>
      <w:tr w:rsidR="00C21CD4" w:rsidRPr="008B4708">
        <w:trPr>
          <w:cantSplit/>
        </w:trPr>
        <w:tc>
          <w:tcPr>
            <w:tcW w:w="908" w:type="dxa"/>
            <w:gridSpan w:val="2"/>
            <w:vAlign w:val="center"/>
          </w:tcPr>
          <w:p w:rsidR="00C21CD4" w:rsidRPr="008B4708" w:rsidRDefault="00C21CD4" w:rsidP="002A4D3C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Student dostrzega rangę dziedzictwa kulturowego regionu wpisującego się w tradycję historyczną kraju.</w:t>
            </w:r>
          </w:p>
        </w:tc>
        <w:tc>
          <w:tcPr>
            <w:tcW w:w="1400" w:type="dxa"/>
            <w:gridSpan w:val="2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K_K08</w:t>
            </w:r>
          </w:p>
        </w:tc>
      </w:tr>
      <w:tr w:rsidR="00C21CD4" w:rsidRPr="008B4708">
        <w:trPr>
          <w:cantSplit/>
        </w:trPr>
        <w:tc>
          <w:tcPr>
            <w:tcW w:w="908" w:type="dxa"/>
            <w:gridSpan w:val="2"/>
            <w:vAlign w:val="center"/>
          </w:tcPr>
          <w:p w:rsidR="00C21CD4" w:rsidRPr="008B4708" w:rsidRDefault="00C21CD4" w:rsidP="002A4D3C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Uczestniczy w życiu kulturalnym, pozycjonuje ważne wydarzenia w obszarze kultury z podziałem na kulturę niską i wysoką.</w:t>
            </w:r>
          </w:p>
        </w:tc>
        <w:tc>
          <w:tcPr>
            <w:tcW w:w="1400" w:type="dxa"/>
            <w:gridSpan w:val="2"/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K_K09</w:t>
            </w:r>
          </w:p>
        </w:tc>
      </w:tr>
      <w:tr w:rsidR="00C21CD4" w:rsidRPr="008B470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21CD4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C21CD4" w:rsidRPr="008B470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C21CD4" w:rsidRPr="008B470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21CD4" w:rsidRPr="008B4708" w:rsidRDefault="00C21CD4" w:rsidP="00E60D35">
            <w:pPr>
              <w:ind w:left="720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Kultura a natura. Definiowanie pojęć.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Nauki o kulturze: archeologia, filozofia kultury, antropologia kultury, socjologia kultury, kulturoznawstwo.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Kształtowanie się nowoczesnej myśli kulturowej (J. J. Rousseau, J. G. Herder).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Społeczne znaczenie kultury (E. Durkheim).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Psychoanalityczne badanie kultury (Z. Freud).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Strukturalistyczne badanie kultury (C. Levi-Strauss).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Antropologiczne badania obcych kultur. Funkcjonalizm (B. Malinowski).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Komunikacyjne badania kultury (M. Mead).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Kultura popularna.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Kultura wysoka / kultura niska. Znaczenie estetyki.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Kultura medialna. Szkoła z Toronto (W. Ong, M. McLuhan).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Hegemonia kulturowa i ideologiczna. Amerykanizacja kultury.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Brytyjskie studia kulturowe.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Postmodernizm a kultura.</w:t>
            </w:r>
          </w:p>
          <w:p w:rsidR="00C21CD4" w:rsidRPr="008B4708" w:rsidRDefault="00C21CD4" w:rsidP="003D566D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Studia genderowe a kultura.</w:t>
            </w:r>
          </w:p>
          <w:p w:rsidR="00C21CD4" w:rsidRPr="008B4708" w:rsidRDefault="00C21CD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C21CD4" w:rsidRPr="008B470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21CD4" w:rsidRPr="008B4708" w:rsidRDefault="00C21CD4">
            <w:pPr>
              <w:pStyle w:val="Heading1"/>
              <w:rPr>
                <w:rFonts w:ascii="Cambria" w:hAnsi="Cambria" w:cs="Cambria"/>
              </w:rPr>
            </w:pPr>
            <w:r w:rsidRPr="008B4708">
              <w:rPr>
                <w:rFonts w:ascii="Cambria" w:hAnsi="Cambria" w:cs="Cambria"/>
              </w:rPr>
              <w:t>Laboratorium</w:t>
            </w:r>
          </w:p>
        </w:tc>
      </w:tr>
      <w:tr w:rsidR="00C21CD4" w:rsidRPr="008B470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21CD4" w:rsidRPr="008B4708" w:rsidRDefault="00C21CD4">
            <w:pPr>
              <w:pStyle w:val="Heading1"/>
              <w:rPr>
                <w:rFonts w:ascii="Cambria" w:hAnsi="Cambria" w:cs="Cambria"/>
              </w:rPr>
            </w:pPr>
            <w:r w:rsidRPr="008B4708">
              <w:rPr>
                <w:rFonts w:ascii="Cambria" w:hAnsi="Cambria" w:cs="Cambria"/>
              </w:rPr>
              <w:t>Projekt</w:t>
            </w:r>
          </w:p>
        </w:tc>
      </w:tr>
      <w:tr w:rsidR="00C21CD4" w:rsidRPr="008B470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C21CD4" w:rsidRPr="008B4708" w:rsidRDefault="00C21CD4" w:rsidP="00E60D35">
            <w:pPr>
              <w:numPr>
                <w:ilvl w:val="0"/>
                <w:numId w:val="19"/>
              </w:num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Barker Chris, </w:t>
            </w:r>
            <w:r w:rsidRPr="008B4708">
              <w:rPr>
                <w:rFonts w:ascii="Cambria" w:hAnsi="Cambria" w:cs="Cambria"/>
                <w:i/>
                <w:iCs/>
                <w:sz w:val="24"/>
                <w:szCs w:val="24"/>
              </w:rPr>
              <w:t>Studia kulturowe. Teoria i praktyka</w:t>
            </w:r>
            <w:r w:rsidRPr="008B4708">
              <w:rPr>
                <w:rFonts w:ascii="Cambria" w:hAnsi="Cambria" w:cs="Cambria"/>
                <w:sz w:val="24"/>
                <w:szCs w:val="24"/>
              </w:rPr>
              <w:t>, Kraków 2005.</w:t>
            </w:r>
          </w:p>
          <w:p w:rsidR="00C21CD4" w:rsidRPr="008B4708" w:rsidRDefault="00C21CD4" w:rsidP="00AC6521">
            <w:pPr>
              <w:numPr>
                <w:ilvl w:val="0"/>
                <w:numId w:val="19"/>
              </w:num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Godlewski Grzegorz i in., </w:t>
            </w:r>
            <w:r w:rsidRPr="008B4708">
              <w:rPr>
                <w:rFonts w:ascii="Cambria" w:hAnsi="Cambria" w:cs="Cambria"/>
                <w:i/>
                <w:iCs/>
                <w:sz w:val="24"/>
                <w:szCs w:val="24"/>
              </w:rPr>
              <w:t>Wprowadzenie do wiedzy o kulturze</w:t>
            </w:r>
            <w:r w:rsidRPr="008B4708">
              <w:rPr>
                <w:rFonts w:ascii="Cambria" w:hAnsi="Cambria" w:cs="Cambria"/>
                <w:sz w:val="24"/>
                <w:szCs w:val="24"/>
              </w:rPr>
              <w:t>, Warszawa 1993.</w:t>
            </w:r>
            <w:r w:rsidRPr="008B4708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</w:t>
            </w:r>
          </w:p>
          <w:p w:rsidR="00C21CD4" w:rsidRPr="008B4708" w:rsidRDefault="00C21CD4" w:rsidP="00E60D35">
            <w:pPr>
              <w:numPr>
                <w:ilvl w:val="0"/>
                <w:numId w:val="19"/>
              </w:num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Kłoskowska Antonina (red.), </w:t>
            </w:r>
            <w:r w:rsidRPr="008B4708">
              <w:rPr>
                <w:rFonts w:ascii="Cambria" w:hAnsi="Cambria" w:cs="Cambria"/>
                <w:i/>
                <w:iCs/>
                <w:sz w:val="24"/>
                <w:szCs w:val="24"/>
              </w:rPr>
              <w:t>Pojęcie i problemy wiedzy o kulturze</w:t>
            </w:r>
            <w:r w:rsidRPr="008B4708">
              <w:rPr>
                <w:rFonts w:ascii="Cambria" w:hAnsi="Cambria" w:cs="Cambria"/>
                <w:sz w:val="24"/>
                <w:szCs w:val="24"/>
              </w:rPr>
              <w:t>, Wrocław 1991.</w:t>
            </w:r>
          </w:p>
          <w:p w:rsidR="00C21CD4" w:rsidRPr="008B4708" w:rsidRDefault="00C21CD4" w:rsidP="00AC6521">
            <w:pPr>
              <w:ind w:left="720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c>
          <w:tcPr>
            <w:tcW w:w="2448" w:type="dxa"/>
            <w:gridSpan w:val="5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C21CD4" w:rsidRPr="008B4708" w:rsidRDefault="00C21CD4" w:rsidP="00AC6521">
            <w:pPr>
              <w:numPr>
                <w:ilvl w:val="0"/>
                <w:numId w:val="20"/>
              </w:num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Godlewski Grzegorz i in., </w:t>
            </w:r>
            <w:r w:rsidRPr="008B4708">
              <w:rPr>
                <w:rFonts w:ascii="Cambria" w:hAnsi="Cambria" w:cs="Cambria"/>
                <w:i/>
                <w:iCs/>
                <w:sz w:val="24"/>
                <w:szCs w:val="24"/>
              </w:rPr>
              <w:t>Antropologia słowa. Zagadnienia i wybór tekstów</w:t>
            </w:r>
            <w:r w:rsidRPr="008B4708">
              <w:rPr>
                <w:rFonts w:ascii="Cambria" w:hAnsi="Cambria" w:cs="Cambria"/>
                <w:sz w:val="24"/>
                <w:szCs w:val="24"/>
              </w:rPr>
              <w:t>. Warszawa 2003.</w:t>
            </w:r>
          </w:p>
          <w:p w:rsidR="00C21CD4" w:rsidRPr="008B4708" w:rsidRDefault="00C21CD4" w:rsidP="00AC6521">
            <w:pPr>
              <w:numPr>
                <w:ilvl w:val="0"/>
                <w:numId w:val="20"/>
              </w:num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Kłoskowska Antonina, </w:t>
            </w:r>
            <w:r w:rsidRPr="008B4708">
              <w:rPr>
                <w:rFonts w:ascii="Cambria" w:hAnsi="Cambria" w:cs="Cambria"/>
                <w:i/>
                <w:iCs/>
                <w:sz w:val="24"/>
                <w:szCs w:val="24"/>
              </w:rPr>
              <w:t>Kultura masowa</w:t>
            </w:r>
            <w:r w:rsidRPr="008B4708">
              <w:rPr>
                <w:rFonts w:ascii="Cambria" w:hAnsi="Cambria" w:cs="Cambria"/>
                <w:sz w:val="24"/>
                <w:szCs w:val="24"/>
              </w:rPr>
              <w:t>, Warszawa 1964.</w:t>
            </w:r>
          </w:p>
          <w:p w:rsidR="00C21CD4" w:rsidRPr="008B4708" w:rsidRDefault="00C21CD4" w:rsidP="00AC6521">
            <w:pPr>
              <w:numPr>
                <w:ilvl w:val="0"/>
                <w:numId w:val="20"/>
              </w:num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Wilkoszewska Krystyna (red.), </w:t>
            </w:r>
            <w:r w:rsidRPr="008B4708">
              <w:rPr>
                <w:rFonts w:ascii="Cambria" w:hAnsi="Cambria" w:cs="Cambria"/>
                <w:i/>
                <w:iCs/>
                <w:sz w:val="24"/>
                <w:szCs w:val="24"/>
              </w:rPr>
              <w:t>Piękno w sieci. Estetyka a nowe media</w:t>
            </w:r>
            <w:r w:rsidRPr="008B4708">
              <w:rPr>
                <w:rFonts w:ascii="Cambria" w:hAnsi="Cambria" w:cs="Cambria"/>
                <w:sz w:val="24"/>
                <w:szCs w:val="24"/>
              </w:rPr>
              <w:t>, Kraków 1999.</w:t>
            </w:r>
          </w:p>
          <w:p w:rsidR="00C21CD4" w:rsidRPr="008B4708" w:rsidRDefault="00C21CD4" w:rsidP="00AC6521">
            <w:pPr>
              <w:ind w:left="432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  <w:r w:rsidRPr="008B4708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1CD4" w:rsidRPr="008B4708" w:rsidRDefault="00C21CD4">
            <w:pPr>
              <w:rPr>
                <w:rFonts w:ascii="Cambria" w:hAnsi="Cambria" w:cs="Cambria"/>
                <w:sz w:val="18"/>
                <w:szCs w:val="18"/>
              </w:rPr>
            </w:pPr>
            <w:r w:rsidRPr="008B4708">
              <w:rPr>
                <w:rFonts w:ascii="Cambria" w:hAnsi="Cambria" w:cs="Cambria"/>
                <w:sz w:val="22"/>
                <w:szCs w:val="22"/>
              </w:rPr>
              <w:t>Metody podające, metody praktyczne.</w:t>
            </w:r>
          </w:p>
        </w:tc>
      </w:tr>
      <w:tr w:rsidR="00C21CD4" w:rsidRPr="008B470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8B4708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21CD4" w:rsidRPr="008B4708" w:rsidRDefault="00C21CD4" w:rsidP="003D566D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8B4708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</w:p>
        </w:tc>
      </w:tr>
      <w:tr w:rsidR="00C21CD4" w:rsidRPr="008B470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</w:tcPr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1CD4" w:rsidRPr="008B4708" w:rsidRDefault="00C21CD4" w:rsidP="00411527">
            <w:pPr>
              <w:rPr>
                <w:rFonts w:ascii="Cambria" w:hAnsi="Cambria" w:cs="Cambria"/>
                <w:sz w:val="22"/>
                <w:szCs w:val="22"/>
              </w:rPr>
            </w:pPr>
            <w:r w:rsidRPr="008B4708">
              <w:rPr>
                <w:rFonts w:ascii="Cambria" w:hAnsi="Cambria" w:cs="Cambria"/>
                <w:sz w:val="22"/>
                <w:szCs w:val="22"/>
              </w:rPr>
              <w:t xml:space="preserve">Prezentacja multimedialna 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C21CD4" w:rsidRPr="008B4708" w:rsidRDefault="00C21CD4" w:rsidP="002A4D3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01  02 </w:t>
            </w:r>
            <w:r w:rsidRPr="008B4708">
              <w:rPr>
                <w:rFonts w:ascii="Cambria" w:hAnsi="Cambria" w:cs="Cambria"/>
                <w:sz w:val="22"/>
                <w:szCs w:val="22"/>
              </w:rPr>
              <w:t xml:space="preserve"> 0</w:t>
            </w:r>
            <w:r>
              <w:rPr>
                <w:rFonts w:ascii="Cambria" w:hAnsi="Cambria" w:cs="Cambria"/>
                <w:sz w:val="22"/>
                <w:szCs w:val="22"/>
              </w:rPr>
              <w:t>3</w:t>
            </w:r>
            <w:r w:rsidRPr="008B4708">
              <w:rPr>
                <w:rFonts w:ascii="Cambria" w:hAnsi="Cambria" w:cs="Cambria"/>
                <w:sz w:val="22"/>
                <w:szCs w:val="22"/>
              </w:rPr>
              <w:t xml:space="preserve">  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  <w:r w:rsidRPr="008B4708">
              <w:rPr>
                <w:rFonts w:ascii="Cambria" w:hAnsi="Cambria" w:cs="Cambria"/>
                <w:sz w:val="22"/>
                <w:szCs w:val="22"/>
              </w:rPr>
              <w:t xml:space="preserve">  0</w:t>
            </w:r>
            <w:r>
              <w:rPr>
                <w:rFonts w:ascii="Cambria" w:hAnsi="Cambria" w:cs="Cambria"/>
                <w:sz w:val="22"/>
                <w:szCs w:val="22"/>
              </w:rPr>
              <w:t>5</w:t>
            </w:r>
            <w:r w:rsidRPr="008B4708">
              <w:rPr>
                <w:rFonts w:ascii="Cambria" w:hAnsi="Cambria" w:cs="Cambria"/>
                <w:sz w:val="22"/>
                <w:szCs w:val="22"/>
              </w:rPr>
              <w:t xml:space="preserve">  </w:t>
            </w:r>
          </w:p>
        </w:tc>
      </w:tr>
      <w:tr w:rsidR="00C21CD4" w:rsidRPr="008B470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21CD4" w:rsidRDefault="00C21CD4" w:rsidP="0041152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1CD4" w:rsidRPr="008B4708" w:rsidRDefault="00C21CD4" w:rsidP="00411527">
            <w:pPr>
              <w:rPr>
                <w:rFonts w:ascii="Cambria" w:hAnsi="Cambria" w:cs="Cambria"/>
                <w:sz w:val="22"/>
                <w:szCs w:val="22"/>
              </w:rPr>
            </w:pPr>
            <w:r w:rsidRPr="00125CBB">
              <w:rPr>
                <w:rFonts w:ascii="Cambria" w:hAnsi="Cambria" w:cs="Cambria"/>
                <w:sz w:val="22"/>
                <w:szCs w:val="22"/>
              </w:rPr>
              <w:t>Egzamin ustny lub pisemny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gridSpan w:val="3"/>
          </w:tcPr>
          <w:p w:rsidR="00C21CD4" w:rsidRPr="008B4708" w:rsidRDefault="00C21CD4" w:rsidP="002A4D3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01  02 </w:t>
            </w:r>
            <w:r w:rsidRPr="00125CBB">
              <w:rPr>
                <w:rFonts w:ascii="Cambria" w:hAnsi="Cambria" w:cs="Cambria"/>
                <w:sz w:val="22"/>
                <w:szCs w:val="22"/>
              </w:rPr>
              <w:t xml:space="preserve">  0</w:t>
            </w:r>
            <w:r>
              <w:rPr>
                <w:rFonts w:ascii="Cambria" w:hAnsi="Cambria" w:cs="Cambria"/>
                <w:sz w:val="22"/>
                <w:szCs w:val="22"/>
              </w:rPr>
              <w:t>3</w:t>
            </w:r>
            <w:r w:rsidRPr="00125CBB">
              <w:rPr>
                <w:rFonts w:ascii="Cambria" w:hAnsi="Cambria" w:cs="Cambria"/>
                <w:sz w:val="22"/>
                <w:szCs w:val="22"/>
              </w:rPr>
              <w:t xml:space="preserve">  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  <w:r w:rsidRPr="00125CBB">
              <w:rPr>
                <w:rFonts w:ascii="Cambria" w:hAnsi="Cambria" w:cs="Cambria"/>
                <w:sz w:val="22"/>
                <w:szCs w:val="22"/>
              </w:rPr>
              <w:t xml:space="preserve">  </w:t>
            </w:r>
          </w:p>
        </w:tc>
      </w:tr>
      <w:tr w:rsidR="00C21CD4" w:rsidRPr="008B470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  <w:r w:rsidRPr="008B4708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C21CD4" w:rsidRPr="008B4708" w:rsidRDefault="00C21CD4">
            <w:pPr>
              <w:rPr>
                <w:rFonts w:ascii="Cambria" w:hAnsi="Cambria" w:cs="Cambria"/>
                <w:sz w:val="22"/>
                <w:szCs w:val="22"/>
              </w:rPr>
            </w:pPr>
            <w:r w:rsidRPr="008B4708">
              <w:rPr>
                <w:rFonts w:ascii="Cambria" w:hAnsi="Cambria" w:cs="Cambria"/>
                <w:sz w:val="22"/>
                <w:szCs w:val="22"/>
              </w:rPr>
              <w:t xml:space="preserve">Prezentacja multimedialna </w:t>
            </w:r>
            <w:r w:rsidRPr="00411527">
              <w:rPr>
                <w:rFonts w:ascii="Cambria" w:hAnsi="Cambria" w:cs="Cambria"/>
                <w:sz w:val="22"/>
                <w:szCs w:val="22"/>
              </w:rPr>
              <w:t xml:space="preserve">– </w:t>
            </w:r>
            <w:r>
              <w:rPr>
                <w:rFonts w:ascii="Cambria" w:hAnsi="Cambria" w:cs="Cambria"/>
                <w:sz w:val="22"/>
                <w:szCs w:val="22"/>
              </w:rPr>
              <w:t>3</w:t>
            </w:r>
            <w:r w:rsidRPr="00411527">
              <w:rPr>
                <w:rFonts w:ascii="Cambria" w:hAnsi="Cambria" w:cs="Cambria"/>
                <w:sz w:val="22"/>
                <w:szCs w:val="22"/>
              </w:rPr>
              <w:t>5%</w:t>
            </w:r>
          </w:p>
          <w:p w:rsidR="00C21CD4" w:rsidRPr="008B4708" w:rsidRDefault="00C21CD4" w:rsidP="00F31EF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8B4708">
              <w:rPr>
                <w:rFonts w:ascii="Cambria" w:hAnsi="Cambria" w:cs="Cambria"/>
                <w:sz w:val="22"/>
                <w:szCs w:val="22"/>
              </w:rPr>
              <w:t xml:space="preserve">Egzamin ustny lub pisemny – </w:t>
            </w:r>
            <w:r>
              <w:rPr>
                <w:rFonts w:ascii="Cambria" w:hAnsi="Cambria" w:cs="Cambria"/>
                <w:sz w:val="22"/>
                <w:szCs w:val="22"/>
              </w:rPr>
              <w:t>65%</w:t>
            </w:r>
          </w:p>
        </w:tc>
      </w:tr>
      <w:tr w:rsidR="00C21CD4" w:rsidRPr="008B4708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21CD4" w:rsidRPr="008B4708">
        <w:trPr>
          <w:trHeight w:val="263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C21CD4" w:rsidRPr="008B4708" w:rsidRDefault="00C21CD4" w:rsidP="0000435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C21CD4" w:rsidRPr="008B4708" w:rsidRDefault="00C21CD4" w:rsidP="000043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8B4708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C21CD4" w:rsidRPr="008B4708" w:rsidRDefault="00C21CD4" w:rsidP="0041152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8B4708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C21CD4" w:rsidRPr="008B4708" w:rsidRDefault="00C21CD4" w:rsidP="000043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8B4708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C21CD4" w:rsidRPr="008B4708" w:rsidRDefault="00C21CD4" w:rsidP="000043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C21CD4" w:rsidRPr="008B4708" w:rsidRDefault="00C21CD4" w:rsidP="000043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C21CD4" w:rsidRPr="008B4708" w:rsidRDefault="00C21CD4" w:rsidP="0000435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C21CD4" w:rsidRPr="008B4708" w:rsidRDefault="00C21CD4" w:rsidP="0041152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C21CD4" w:rsidRPr="008B4708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  <w:shd w:val="clear" w:color="auto" w:fill="C0C0C0"/>
          </w:tcPr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8B4708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C21CD4" w:rsidRPr="008B4708" w:rsidRDefault="00C21CD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shd w:val="clear" w:color="auto" w:fill="C0C0C0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C21CD4" w:rsidRPr="008B4708" w:rsidRDefault="00C21CD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0,4</w:t>
            </w:r>
            <w:r w:rsidRPr="008B470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C21CD4" w:rsidRPr="008B4708">
        <w:trPr>
          <w:trHeight w:val="262"/>
        </w:trPr>
        <w:tc>
          <w:tcPr>
            <w:tcW w:w="4723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C21CD4" w:rsidRPr="008B4708" w:rsidRDefault="00C21CD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  <w:p w:rsidR="00C21CD4" w:rsidRPr="008B4708" w:rsidRDefault="00C21CD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,3</w:t>
            </w:r>
            <w:r w:rsidRPr="008B4708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C21CD4" w:rsidRPr="008B4708" w:rsidRDefault="00C21CD4">
      <w:pPr>
        <w:rPr>
          <w:rFonts w:ascii="Cambria" w:hAnsi="Cambria" w:cs="Cambria"/>
          <w:sz w:val="24"/>
          <w:szCs w:val="24"/>
        </w:rPr>
      </w:pPr>
    </w:p>
    <w:p w:rsidR="00C21CD4" w:rsidRPr="008B4708" w:rsidRDefault="00C21CD4">
      <w:pPr>
        <w:rPr>
          <w:rFonts w:ascii="Cambria" w:hAnsi="Cambria" w:cs="Cambria"/>
          <w:sz w:val="24"/>
          <w:szCs w:val="24"/>
        </w:rPr>
      </w:pPr>
    </w:p>
    <w:p w:rsidR="00C21CD4" w:rsidRPr="008B4708" w:rsidRDefault="00C21CD4">
      <w:pPr>
        <w:rPr>
          <w:rFonts w:ascii="Cambria" w:hAnsi="Cambria" w:cs="Cambria"/>
          <w:sz w:val="24"/>
          <w:szCs w:val="24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p w:rsidR="00C21CD4" w:rsidRPr="008B4708" w:rsidRDefault="00C21CD4">
      <w:pPr>
        <w:pStyle w:val="Default"/>
        <w:rPr>
          <w:rFonts w:ascii="Cambria" w:hAnsi="Cambria" w:cs="Cambria"/>
        </w:rPr>
      </w:pPr>
    </w:p>
    <w:sectPr w:rsidR="00C21CD4" w:rsidRPr="008B4708" w:rsidSect="0031056D">
      <w:footerReference w:type="even" r:id="rId7"/>
      <w:footerReference w:type="default" r:id="rId8"/>
      <w:pgSz w:w="11906" w:h="16838"/>
      <w:pgMar w:top="71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CD4" w:rsidRDefault="00C21CD4">
      <w:r>
        <w:separator/>
      </w:r>
    </w:p>
  </w:endnote>
  <w:endnote w:type="continuationSeparator" w:id="0">
    <w:p w:rsidR="00C21CD4" w:rsidRDefault="00C21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D4" w:rsidRDefault="00C21C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1CD4" w:rsidRDefault="00C21CD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CD4" w:rsidRDefault="00C21C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21CD4" w:rsidRDefault="00C21CD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CD4" w:rsidRDefault="00C21CD4">
      <w:r>
        <w:separator/>
      </w:r>
    </w:p>
  </w:footnote>
  <w:footnote w:type="continuationSeparator" w:id="0">
    <w:p w:rsidR="00C21CD4" w:rsidRDefault="00C21C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3E283566"/>
    <w:multiLevelType w:val="hybridMultilevel"/>
    <w:tmpl w:val="3A96F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B5A3A"/>
    <w:multiLevelType w:val="hybridMultilevel"/>
    <w:tmpl w:val="B0FAE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EFF7B57"/>
    <w:multiLevelType w:val="hybridMultilevel"/>
    <w:tmpl w:val="2AA20118"/>
    <w:lvl w:ilvl="0" w:tplc="A4B669E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6"/>
  </w:num>
  <w:num w:numId="16">
    <w:abstractNumId w:val="6"/>
  </w:num>
  <w:num w:numId="17">
    <w:abstractNumId w:val="19"/>
  </w:num>
  <w:num w:numId="18">
    <w:abstractNumId w:val="13"/>
  </w:num>
  <w:num w:numId="19">
    <w:abstractNumId w:val="12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0435D"/>
    <w:rsid w:val="00125CBB"/>
    <w:rsid w:val="001F2DBB"/>
    <w:rsid w:val="00282B44"/>
    <w:rsid w:val="002A4D3C"/>
    <w:rsid w:val="002D2B56"/>
    <w:rsid w:val="0031056D"/>
    <w:rsid w:val="00344BD8"/>
    <w:rsid w:val="003C5355"/>
    <w:rsid w:val="003D566D"/>
    <w:rsid w:val="003F5762"/>
    <w:rsid w:val="00411527"/>
    <w:rsid w:val="004257BD"/>
    <w:rsid w:val="00433D1C"/>
    <w:rsid w:val="0049796F"/>
    <w:rsid w:val="004B3012"/>
    <w:rsid w:val="00521293"/>
    <w:rsid w:val="00561E05"/>
    <w:rsid w:val="0057195F"/>
    <w:rsid w:val="005B56D5"/>
    <w:rsid w:val="005D06D0"/>
    <w:rsid w:val="006B47E0"/>
    <w:rsid w:val="006C781A"/>
    <w:rsid w:val="006F67D7"/>
    <w:rsid w:val="007F0A2C"/>
    <w:rsid w:val="008366B8"/>
    <w:rsid w:val="008B4708"/>
    <w:rsid w:val="008D3014"/>
    <w:rsid w:val="00901F83"/>
    <w:rsid w:val="009A4117"/>
    <w:rsid w:val="009D354A"/>
    <w:rsid w:val="009D53D4"/>
    <w:rsid w:val="00A44201"/>
    <w:rsid w:val="00AC6521"/>
    <w:rsid w:val="00AF29C4"/>
    <w:rsid w:val="00B36A2F"/>
    <w:rsid w:val="00B751A4"/>
    <w:rsid w:val="00B944EA"/>
    <w:rsid w:val="00BA4F60"/>
    <w:rsid w:val="00C12646"/>
    <w:rsid w:val="00C21CD4"/>
    <w:rsid w:val="00D15943"/>
    <w:rsid w:val="00D75BDB"/>
    <w:rsid w:val="00E60D35"/>
    <w:rsid w:val="00F31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E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44EA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44EA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44EA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44EA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44EA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44EA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6F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6F0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6F0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6F0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6F0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6F0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B944EA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944EA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F6F07"/>
    <w:rPr>
      <w:sz w:val="20"/>
      <w:szCs w:val="20"/>
    </w:rPr>
  </w:style>
  <w:style w:type="paragraph" w:styleId="NormalWeb">
    <w:name w:val="Normal (Web)"/>
    <w:basedOn w:val="Normal"/>
    <w:uiPriority w:val="99"/>
    <w:rsid w:val="00B944EA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944EA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6F07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944EA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6F07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944EA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3F6F0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944EA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944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6F07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B944EA"/>
  </w:style>
  <w:style w:type="paragraph" w:styleId="Footer">
    <w:name w:val="footer"/>
    <w:basedOn w:val="Normal"/>
    <w:link w:val="FooterChar"/>
    <w:uiPriority w:val="99"/>
    <w:rsid w:val="00B944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6F07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B944EA"/>
  </w:style>
  <w:style w:type="paragraph" w:styleId="Subtitle">
    <w:name w:val="Subtitle"/>
    <w:basedOn w:val="Normal"/>
    <w:link w:val="SubtitleChar"/>
    <w:uiPriority w:val="99"/>
    <w:qFormat/>
    <w:rsid w:val="00B944EA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3F6F07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B944EA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B944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560</Words>
  <Characters>3361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2012-09-19T16:39:00Z</cp:lastPrinted>
  <dcterms:created xsi:type="dcterms:W3CDTF">2012-09-19T16:40:00Z</dcterms:created>
  <dcterms:modified xsi:type="dcterms:W3CDTF">2012-09-19T16:40:00Z</dcterms:modified>
</cp:coreProperties>
</file>